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482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35"/>
        <w:gridCol w:w="2295"/>
        <w:gridCol w:w="2355"/>
        <w:gridCol w:w="3300"/>
        <w:tblGridChange w:id="0">
          <w:tblGrid>
            <w:gridCol w:w="3435"/>
            <w:gridCol w:w="3435"/>
            <w:gridCol w:w="2295"/>
            <w:gridCol w:w="2355"/>
            <w:gridCol w:w="3300"/>
          </w:tblGrid>
        </w:tblGridChange>
      </w:tblGrid>
      <w:tr>
        <w:trPr>
          <w:trHeight w:val="960" w:hRule="atLeast"/>
        </w:trPr>
        <w:tc>
          <w:tcPr>
            <w:gridSpan w:val="5"/>
            <w:tcBorders>
              <w:top w:color="000000" w:space="0" w:sz="8" w:val="single"/>
              <w:left w:color="000000" w:space="0" w:sz="8" w:val="single"/>
              <w:bottom w:color="000000" w:space="0" w:sz="8" w:val="single"/>
              <w:right w:color="000000" w:space="0" w:sz="8" w:val="single"/>
            </w:tcBorders>
            <w:shd w:fill="ffd966"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8"/>
                <w:szCs w:val="28"/>
              </w:rPr>
            </w:pPr>
            <w:r w:rsidDel="00000000" w:rsidR="00000000" w:rsidRPr="00000000">
              <w:rPr>
                <w:b w:val="1"/>
                <w:sz w:val="28"/>
                <w:szCs w:val="28"/>
                <w:rtl w:val="0"/>
              </w:rPr>
              <w:t xml:space="preserve">Action Planning:</w:t>
            </w:r>
            <w:r w:rsidDel="00000000" w:rsidR="00000000" w:rsidRPr="00000000">
              <w:rPr>
                <w:sz w:val="28"/>
                <w:szCs w:val="28"/>
                <w:rtl w:val="0"/>
              </w:rPr>
              <w:t xml:space="preserve"> What might we do to further strengthen our implementation process? Are there activities we need to revisit? What are the “next right steps” to engage in or revisit activities?</w:t>
            </w:r>
            <w:r w:rsidDel="00000000" w:rsidR="00000000" w:rsidRPr="00000000">
              <w:rPr>
                <w:rtl w:val="0"/>
              </w:rPr>
            </w:r>
          </w:p>
        </w:tc>
      </w:tr>
      <w:tr>
        <w:trPr>
          <w:trHeight w:val="600" w:hRule="atLeast"/>
        </w:trPr>
        <w:tc>
          <w:tcPr>
            <w:gridSpan w:val="5"/>
            <w:shd w:fill="ffe5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300" w:before="300" w:line="240" w:lineRule="auto"/>
              <w:rPr/>
            </w:pPr>
            <w:r w:rsidDel="00000000" w:rsidR="00000000" w:rsidRPr="00000000">
              <w:rPr>
                <w:b w:val="1"/>
                <w:sz w:val="24"/>
                <w:szCs w:val="24"/>
                <w:rtl w:val="0"/>
              </w:rPr>
              <w:t xml:space="preserve">Part 1: Information About Early Childhood Programs</w:t>
            </w:r>
            <w:r w:rsidDel="00000000" w:rsidR="00000000" w:rsidRPr="00000000">
              <w:rPr>
                <w:rtl w:val="0"/>
              </w:rPr>
            </w:r>
          </w:p>
        </w:tc>
      </w:tr>
      <w:tr>
        <w:trPr>
          <w:trHeight w:val="820"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300" w:before="3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300" w:before="3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300" w:before="3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300" w:before="3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Person(s) Responsible?</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300" w:before="3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 Needed to Further Our Work?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widowControl w:val="0"/>
              <w:spacing w:before="300" w:lineRule="auto"/>
              <w:rPr>
                <w:sz w:val="24"/>
                <w:szCs w:val="24"/>
              </w:rPr>
            </w:pPr>
            <w:r w:rsidDel="00000000" w:rsidR="00000000" w:rsidRPr="00000000">
              <w:rPr>
                <w:sz w:val="24"/>
                <w:szCs w:val="24"/>
                <w:rtl w:val="0"/>
              </w:rPr>
              <w:t xml:space="preserve">Program personnel know the names and locations of public schools for the children served in the program and have established a contact at each to support the transition to kindergarten.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spacing w:before="300" w:lineRule="auto"/>
              <w:rPr>
                <w:sz w:val="24"/>
                <w:szCs w:val="24"/>
              </w:rPr>
            </w:pPr>
            <w:r w:rsidDel="00000000" w:rsidR="00000000" w:rsidRPr="00000000">
              <w:rPr>
                <w:sz w:val="24"/>
                <w:szCs w:val="24"/>
                <w:rtl w:val="0"/>
              </w:rPr>
              <w:t xml:space="preserve">The program supports opportunities (such as emails and meetings) for directors and teachers from programs serving children in the year prior to kindergarten entry and kindergarten teachers and administrators to share information regarding effective transitions.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33">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34">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3A">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3B">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3C">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42">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43">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44">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4A">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4B">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4C">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gridSpan w:val="5"/>
            <w:shd w:fill="ffe59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300" w:before="300" w:line="240" w:lineRule="auto"/>
              <w:rPr>
                <w:rFonts w:ascii="Calibri" w:cs="Calibri" w:eastAsia="Calibri" w:hAnsi="Calibri"/>
                <w:sz w:val="24"/>
                <w:szCs w:val="24"/>
              </w:rPr>
            </w:pPr>
            <w:r w:rsidDel="00000000" w:rsidR="00000000" w:rsidRPr="00000000">
              <w:rPr>
                <w:b w:val="1"/>
                <w:sz w:val="24"/>
                <w:szCs w:val="24"/>
                <w:rtl w:val="0"/>
              </w:rPr>
              <w:t xml:space="preserve">Part 2: Information About Incoming Kindergarteners and Their Families</w:t>
            </w:r>
            <w:r w:rsidDel="00000000" w:rsidR="00000000" w:rsidRPr="00000000">
              <w:rPr>
                <w:rtl w:val="0"/>
              </w:rPr>
            </w:r>
          </w:p>
        </w:tc>
      </w:tr>
      <w:tr>
        <w:trPr>
          <w:trHeight w:val="760"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300" w:before="3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300" w:before="3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Activities</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300" w:before="30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By When?</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300" w:before="30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Person(s) Responsible?</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300" w:before="30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Resources Needed to Further Our Work?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before="300" w:lineRule="auto"/>
              <w:rPr>
                <w:sz w:val="24"/>
                <w:szCs w:val="24"/>
              </w:rPr>
            </w:pPr>
            <w:r w:rsidDel="00000000" w:rsidR="00000000" w:rsidRPr="00000000">
              <w:rPr>
                <w:sz w:val="24"/>
                <w:szCs w:val="24"/>
                <w:rtl w:val="0"/>
              </w:rPr>
              <w:t xml:space="preserve">The program provides information to families about the school district kindergarten program their child would attend (i.e. registration flyer).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before="300" w:lineRule="auto"/>
              <w:rPr>
                <w:sz w:val="24"/>
                <w:szCs w:val="24"/>
              </w:rPr>
            </w:pPr>
            <w:r w:rsidDel="00000000" w:rsidR="00000000" w:rsidRPr="00000000">
              <w:rPr>
                <w:sz w:val="24"/>
                <w:szCs w:val="24"/>
                <w:rtl w:val="0"/>
              </w:rPr>
              <w:t xml:space="preserve">The program has a procedure in place for sharing relevant screening and assessment information on children who attended the early childhood program with children’s school districts prior to kindergarten entry.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81">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82">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88">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89">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8A">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90">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91">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92">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98">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99">
            <w:pPr>
              <w:widowControl w:val="0"/>
              <w:spacing w:before="300" w:lineRule="auto"/>
              <w:rPr>
                <w:sz w:val="24"/>
                <w:szCs w:val="24"/>
              </w:rPr>
            </w:pPr>
            <w:r w:rsidDel="00000000" w:rsidR="00000000" w:rsidRPr="00000000">
              <w:rPr>
                <w:rtl w:val="0"/>
              </w:rPr>
            </w:r>
          </w:p>
          <w:p w:rsidR="00000000" w:rsidDel="00000000" w:rsidP="00000000" w:rsidRDefault="00000000" w:rsidRPr="00000000" w14:paraId="0000009A">
            <w:pPr>
              <w:widowControl w:val="0"/>
              <w:spacing w:before="30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gridSpan w:val="5"/>
            <w:tcBorders>
              <w:bottom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300" w:before="3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 3: Family Engagement Plan and Activities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300" w:before="3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300" w:before="3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300" w:before="3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300" w:before="3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Person(s) Responsible?</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300" w:before="3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 Needed to Further Our Work?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befor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program supports families and their children by providing opportunities for school district staff to visit the program for transition engagement opportunities.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befor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program has procedures to facilitate outreach to districts and support the enrollment of children eligible for the kindergarten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widowControl w:val="0"/>
              <w:spacing w:after="300" w:before="30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widowControl w:val="0"/>
              <w:spacing w:before="30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widowControl w:val="0"/>
              <w:spacing w:before="30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widowControl w:val="0"/>
              <w:spacing w:before="30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widowControl w:val="0"/>
              <w:spacing w:befor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widowControl w:val="0"/>
              <w:spacing w:before="30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after="300" w:before="300"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widowControl w:val="0"/>
              <w:spacing w:after="300" w:before="300" w:line="24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sectPr>
      <w:pgSz w:h="12240" w:w="158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